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4695825" cy="18890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8890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The Utilization &amp; Capacity Playbook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isn't a theory. It’s math. Until it’s measured, your pricing, sales, and growth plans are guesses.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playbook explains six unavoidable truths about capacity and utilization.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Each lesson is grounded in real numbers, real consequences, and the justifications business owners often cling to—but can’t afford to keep believing.</w:t>
      </w:r>
    </w:p>
    <w:p w:rsidR="00000000" w:rsidDel="00000000" w:rsidP="00000000" w:rsidRDefault="00000000" w:rsidRPr="00000000" w14:paraId="00000008">
      <w:pPr>
        <w:pStyle w:val="Heading1"/>
        <w:rPr>
          <w:color w:val="434343"/>
          <w:sz w:val="26"/>
          <w:szCs w:val="26"/>
        </w:rPr>
      </w:pPr>
      <w:r w:rsidDel="00000000" w:rsidR="00000000" w:rsidRPr="00000000">
        <w:rPr>
          <w:color w:val="434343"/>
          <w:sz w:val="26"/>
          <w:szCs w:val="26"/>
          <w:rtl w:val="0"/>
        </w:rPr>
        <w:t xml:space="preserve">Lesson 1: Floor Rate – The Ground Under Your Feet</w:t>
      </w:r>
    </w:p>
    <w:p w:rsidR="00000000" w:rsidDel="00000000" w:rsidP="00000000" w:rsidRDefault="00000000" w:rsidRPr="00000000" w14:paraId="00000009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$52,000 salary looks simple...That’s the floor rate—the minimum hourly cost of labor once everything is factored in.</w:t>
        <w:br w:type="textWrapping"/>
        <w:br w:type="textWrapping"/>
        <w:t xml:space="preserve">Why Flat Overhead Works Better</w:t>
        <w:br w:type="textWrapping"/>
        <w:t xml:space="preserve">Overhead doesn’t belong to departments. It’s like gravity—constant, shared, unavoidable. A flat rate keeps the math honest and avoids endless debates.</w:t>
      </w:r>
    </w:p>
    <w:p w:rsidR="00000000" w:rsidDel="00000000" w:rsidP="00000000" w:rsidRDefault="00000000" w:rsidRPr="00000000" w14:paraId="0000000A">
      <w:pPr>
        <w:spacing w:after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Lesson 2: Utilization – The Percent That Tells the Truth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Payroll assumes 40 hours, but time tracking tells another story. No one bills 40. Some weeks it’s 20, some weeks 10.</w:t>
        <w:br w:type="textWrapping"/>
        <w:br w:type="textWrapping"/>
        <w:t xml:space="preserve">Utilization is billable ÷ paid hours. A $52,000 salary at 50% utilization drops realized rate to $18/hr. The specialist trap: when a client or project ends, utilization for that role can crash to zero.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Lesson 3: Realized Rate vs. Target Rate – The Illusion of Pricing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  <w:t xml:space="preserve">Target rate: what you believe you charge. Realized rate: what you actually collect.</w:t>
        <w:br w:type="textWrapping"/>
        <w:br w:type="textWrapping"/>
        <w:t xml:space="preserve">Example: $5,000 ÷ 100 hours = $50/hr vs. target $100/hr. Discounts and favors only drag the realized rate lower. Favors untracked become silent subsidies.</w:t>
      </w:r>
    </w:p>
    <w:p w:rsidR="00000000" w:rsidDel="00000000" w:rsidP="00000000" w:rsidRDefault="00000000" w:rsidRPr="00000000" w14:paraId="0000000F">
      <w:pPr>
        <w:pStyle w:val="Heading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Lesson 4: Fixed Fee &amp; Unbilled Time – The Hidden Drain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  <w:t xml:space="preserve">Flat-fee contracts look simple. $150 for one hour. But if it takes 7 hours, the realized rate falls to $21/hr.</w:t>
        <w:br w:type="textWrapping"/>
        <w:br w:type="textWrapping"/>
        <w:t xml:space="preserve">Clients love predictability. But unless flat fees are scoped with reality, they are disguised underpricing.</w:t>
      </w:r>
    </w:p>
    <w:p w:rsidR="00000000" w:rsidDel="00000000" w:rsidP="00000000" w:rsidRDefault="00000000" w:rsidRPr="00000000" w14:paraId="00000011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Lesson 5: Idle Time &amp; Missed Revenue – The Payroll Tax You Don’t See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Idle time is every paid hour not invoiced. It doesn’t feel like waste, but payroll doesn’t care.</w:t>
        <w:br w:type="textWrapping"/>
        <w:br w:type="textWrapping"/>
        <w:t xml:space="preserve">At $36/hr, 15 idle hours = $540 gone. </w:t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Across 10 employees = $5,400 a week. Idle time is utilization’s shadow and compounds invisibly every payroll cycle.</w:t>
      </w:r>
    </w:p>
    <w:p w:rsidR="00000000" w:rsidDel="00000000" w:rsidP="00000000" w:rsidRDefault="00000000" w:rsidRPr="00000000" w14:paraId="00000014">
      <w:pPr>
        <w:pStyle w:val="Heading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Lesson 6: Capacity &amp; Scaling – The Ceiling You Can’t Ignore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/>
      </w:pPr>
      <w:r w:rsidDel="00000000" w:rsidR="00000000" w:rsidRPr="00000000">
        <w:rPr>
          <w:rtl w:val="0"/>
        </w:rPr>
        <w:t xml:space="preserve">Growth has a ceiling: total billable hours × rate.</w:t>
        <w:br w:type="textWrapping"/>
        <w:br w:type="textWrapping"/>
        <w:t xml:space="preserve">5 people × 30 hrs × $100 = $15,000/week. 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t xml:space="preserve">That’s the ceiling. 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  <w:t xml:space="preserve">Hiring without fixing utilization just raises payroll, not capacity. </w:t>
      </w:r>
    </w:p>
    <w:p w:rsidR="00000000" w:rsidDel="00000000" w:rsidP="00000000" w:rsidRDefault="00000000" w:rsidRPr="00000000" w14:paraId="00000019">
      <w:pPr>
        <w:spacing w:after="240" w:lineRule="auto"/>
        <w:rPr/>
      </w:pPr>
      <w:r w:rsidDel="00000000" w:rsidR="00000000" w:rsidRPr="00000000">
        <w:rPr>
          <w:rtl w:val="0"/>
        </w:rPr>
        <w:t xml:space="preserve">Sustainable scaling requires fixing floor, utilization, realized rate, and idle time first.</w:t>
      </w:r>
    </w:p>
    <w:p w:rsidR="00000000" w:rsidDel="00000000" w:rsidP="00000000" w:rsidRDefault="00000000" w:rsidRPr="00000000" w14:paraId="0000001A">
      <w:pPr>
        <w:pStyle w:val="Heading1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Management Realities for Owners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Flat Overhead: Keep it flat. Overhead is gravity.</w:t>
        <w:br w:type="textWrapping"/>
        <w:t xml:space="preserve">• Specialist Roles: Single-client staff are high-risk. Retrain, reallocate, or release.</w:t>
        <w:br w:type="textWrapping"/>
        <w:t xml:space="preserve">• Favor Clients: Make favors intentional and rare. Untracked favors are silent subsidies.</w:t>
      </w:r>
    </w:p>
    <w:p w:rsidR="00000000" w:rsidDel="00000000" w:rsidP="00000000" w:rsidRDefault="00000000" w:rsidRPr="00000000" w14:paraId="0000001C">
      <w:pPr>
        <w:pStyle w:val="Heading1"/>
        <w:rPr>
          <w:color w:val="008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color w:val="008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jc w:val="center"/>
        <w:rPr/>
      </w:pPr>
      <w:r w:rsidDel="00000000" w:rsidR="00000000" w:rsidRPr="00000000">
        <w:rPr>
          <w:color w:val="008000"/>
          <w:rtl w:val="0"/>
        </w:rPr>
        <w:t xml:space="preserve">Appendix A: Viewing Profitability by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Hourly vs Fixed Fee Work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Hourly: Safer if rates clear floor.</w:t>
        <w:br w:type="textWrapping"/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  <w:t xml:space="preserve">Fixed Fee: Capped revenue, risk of overages.</w:t>
        <w:br w:type="textWrapping"/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Contractors vs Salaried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Contractors: Only cost when they bill.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Salaried: Cost whether they bill or not.</w:t>
        <w:br w:type="textWrapping"/>
        <w:br w:type="textWrapping"/>
      </w:r>
      <w:r w:rsidDel="00000000" w:rsidR="00000000" w:rsidRPr="00000000">
        <w:rPr>
          <w:color w:val="c00000"/>
          <w:rtl w:val="0"/>
        </w:rPr>
        <w:t xml:space="preserve">Key Takeaways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Overhead is real whether you slice it or not.</w:t>
        <w:br w:type="textWrapping"/>
        <w:t xml:space="preserve">• Salaries are fixed whether staff are siloed or flexible.</w:t>
        <w:br w:type="textWrapping"/>
        <w:t xml:space="preserve">• Utilization is the bridge between payroll and profitability.</w:t>
        <w:br w:type="textWrapping"/>
        <w:t xml:space="preserve">• Realized rate, not target rate, decides profit.</w:t>
        <w:br w:type="textWrapping"/>
        <w:t xml:space="preserve">• Idle time is a hidden tax.</w:t>
        <w:br w:type="textWrapping"/>
        <w:t xml:space="preserve">• Capacity is a ceiling. You can’t sell more than you can deliver.</w:t>
      </w:r>
    </w:p>
    <w:sectPr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www.jnbservice.com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2025 © JNB LLC All Rights Reserved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jnbser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RsUO9EsLJ8YzvR8e4NpNYRjOCQ==">CgMxLjA4AHIhMXBfYVZNRTVGUjNZczQyYTFCQ0FCTVhNME5HQTdabzhR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